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E32BD" w14:textId="77777777" w:rsidR="00995507" w:rsidRPr="001D6129" w:rsidRDefault="00995507" w:rsidP="00995507">
      <w:pPr>
        <w:spacing w:afterLines="50" w:after="180"/>
        <w:jc w:val="center"/>
        <w:rPr>
          <w:rFonts w:ascii="Arial" w:hAnsi="Arial" w:cs="Arial"/>
          <w:b/>
          <w:sz w:val="22"/>
        </w:rPr>
      </w:pPr>
      <w:r w:rsidRPr="001D6129">
        <w:rPr>
          <w:rFonts w:ascii="Arial" w:hAnsi="Arial" w:cs="Arial"/>
          <w:b/>
          <w:sz w:val="22"/>
        </w:rPr>
        <w:t>New Product Announcement</w:t>
      </w:r>
    </w:p>
    <w:p w14:paraId="035FC4BE" w14:textId="227F6BE7" w:rsidR="001A7EA0" w:rsidRPr="001004C2" w:rsidRDefault="001A7EA0" w:rsidP="001A7EA0">
      <w:pPr>
        <w:pStyle w:val="Kopfzeile"/>
        <w:jc w:val="right"/>
        <w:rPr>
          <w:rFonts w:ascii="Calibri" w:eastAsia="Meiryo" w:hAnsi="Calibri" w:cs="Meiryo" w:hint="eastAsia"/>
          <w:lang w:eastAsia="zh-CN"/>
        </w:rPr>
      </w:pPr>
      <w:r>
        <w:rPr>
          <w:rFonts w:ascii="Calibri" w:eastAsia="Meiryo" w:hAnsi="Calibri" w:cs="Meiryo" w:hint="eastAsia"/>
        </w:rPr>
        <w:t>March</w:t>
      </w:r>
      <w:r w:rsidRPr="001004C2">
        <w:rPr>
          <w:rFonts w:ascii="Calibri" w:eastAsia="Meiryo" w:hAnsi="Calibri" w:cs="Meiryo"/>
          <w:lang w:eastAsia="zh-CN"/>
        </w:rPr>
        <w:t xml:space="preserve"> </w:t>
      </w:r>
      <w:r>
        <w:rPr>
          <w:rFonts w:ascii="Calibri" w:eastAsia="Meiryo" w:hAnsi="Calibri" w:cs="Meiryo" w:hint="eastAsia"/>
        </w:rPr>
        <w:t>11</w:t>
      </w:r>
      <w:r>
        <w:rPr>
          <w:rFonts w:ascii="Calibri" w:eastAsia="Meiryo" w:hAnsi="Calibri" w:cs="Meiryo"/>
          <w:lang w:eastAsia="zh-CN"/>
        </w:rPr>
        <w:t>, 201</w:t>
      </w:r>
      <w:r>
        <w:rPr>
          <w:rFonts w:ascii="Calibri" w:eastAsia="Meiryo" w:hAnsi="Calibri" w:cs="Meiryo" w:hint="eastAsia"/>
        </w:rPr>
        <w:t>6</w:t>
      </w:r>
    </w:p>
    <w:p w14:paraId="0C0B6C0B" w14:textId="77777777" w:rsidR="001A7EA0" w:rsidRPr="001004C2" w:rsidRDefault="001A7EA0" w:rsidP="001A7EA0">
      <w:pPr>
        <w:pStyle w:val="Kopfzeile"/>
        <w:jc w:val="right"/>
        <w:rPr>
          <w:rFonts w:ascii="Calibri" w:eastAsia="Meiryo" w:hAnsi="Calibri" w:cs="Meiryo" w:hint="eastAsia"/>
          <w:lang w:eastAsia="zh-CN"/>
        </w:rPr>
      </w:pPr>
      <w:r w:rsidRPr="001004C2">
        <w:rPr>
          <w:rFonts w:ascii="Calibri" w:eastAsia="Meiryo" w:hAnsi="Calibri" w:cs="Meiryo"/>
          <w:lang w:eastAsia="zh-CN"/>
        </w:rPr>
        <w:t>Fuji Machine Mfg. Co., Ltd.</w:t>
      </w:r>
    </w:p>
    <w:p w14:paraId="2D3C8C42" w14:textId="77777777" w:rsidR="001A7EA0" w:rsidRDefault="001A7EA0" w:rsidP="001D265F">
      <w:pPr>
        <w:spacing w:line="320" w:lineRule="exact"/>
        <w:ind w:leftChars="337" w:left="354" w:firstLine="1"/>
        <w:jc w:val="center"/>
        <w:rPr>
          <w:rFonts w:ascii="Arial" w:eastAsia="Meiryo" w:hAnsi="Arial" w:cs="Arial"/>
          <w:sz w:val="22"/>
        </w:rPr>
      </w:pPr>
    </w:p>
    <w:p w14:paraId="31EEA8F9" w14:textId="654534DD" w:rsidR="00995507" w:rsidRPr="001D265F" w:rsidRDefault="00995507" w:rsidP="001D265F">
      <w:pPr>
        <w:spacing w:line="320" w:lineRule="exact"/>
        <w:ind w:leftChars="337" w:left="354" w:firstLine="1"/>
        <w:jc w:val="center"/>
        <w:rPr>
          <w:rFonts w:ascii="Arial" w:eastAsia="Meiryo" w:hAnsi="Arial" w:cs="Arial"/>
          <w:b/>
          <w:sz w:val="22"/>
        </w:rPr>
      </w:pPr>
      <w:r w:rsidRPr="001D265F">
        <w:rPr>
          <w:rFonts w:ascii="Arial" w:eastAsia="Meiryo" w:hAnsi="Arial" w:cs="Arial"/>
          <w:b/>
          <w:sz w:val="22"/>
        </w:rPr>
        <w:t>Introducing the Fuji Flexible Placement Platform "AIMEX III"</w:t>
      </w:r>
    </w:p>
    <w:p w14:paraId="198D8572" w14:textId="77777777" w:rsidR="00995507" w:rsidRPr="001D6129" w:rsidRDefault="00995507" w:rsidP="001D265F">
      <w:pPr>
        <w:spacing w:line="320" w:lineRule="exact"/>
        <w:ind w:leftChars="337" w:left="354" w:firstLine="1"/>
        <w:jc w:val="left"/>
        <w:rPr>
          <w:rFonts w:ascii="Arial" w:eastAsia="Meiryo" w:hAnsi="Arial" w:cs="Arial"/>
          <w:sz w:val="22"/>
        </w:rPr>
      </w:pPr>
    </w:p>
    <w:p w14:paraId="29BF5672" w14:textId="77777777" w:rsidR="008C2DD6" w:rsidRDefault="008C2DD6" w:rsidP="001D265F">
      <w:pPr>
        <w:spacing w:line="320" w:lineRule="exact"/>
        <w:ind w:leftChars="68" w:left="72" w:hanging="1"/>
        <w:jc w:val="left"/>
        <w:rPr>
          <w:rFonts w:ascii="Arial" w:eastAsia="Meiryo" w:hAnsi="Arial" w:cs="Arial"/>
          <w:sz w:val="22"/>
        </w:rPr>
      </w:pPr>
      <w:r w:rsidRPr="001D6129">
        <w:rPr>
          <w:rFonts w:ascii="Arial" w:eastAsia="Meiryo" w:hAnsi="Arial" w:cs="Arial"/>
          <w:sz w:val="22"/>
        </w:rPr>
        <w:t>In regard to the placement processes used for electronic circuit boards, there are ever growing calls for high-mix, as well as variable-mix and variable-volume production in order to keep up with changes in the marketplace.</w:t>
      </w:r>
    </w:p>
    <w:p w14:paraId="3908601B" w14:textId="77777777" w:rsidR="001D265F" w:rsidRPr="001D6129" w:rsidRDefault="001D265F" w:rsidP="001D265F">
      <w:pPr>
        <w:spacing w:line="320" w:lineRule="exact"/>
        <w:ind w:leftChars="68" w:left="72" w:hanging="1"/>
        <w:jc w:val="left"/>
        <w:rPr>
          <w:rFonts w:ascii="Arial" w:eastAsia="Meiryo" w:hAnsi="Arial" w:cs="Arial"/>
          <w:sz w:val="22"/>
        </w:rPr>
      </w:pPr>
    </w:p>
    <w:p w14:paraId="2C642B88" w14:textId="77777777" w:rsidR="008C2DD6" w:rsidRDefault="008C2DD6" w:rsidP="001D265F">
      <w:pPr>
        <w:spacing w:line="320" w:lineRule="exact"/>
        <w:jc w:val="left"/>
        <w:rPr>
          <w:rFonts w:ascii="Arial" w:eastAsia="Meiryo" w:hAnsi="Arial" w:cs="Arial"/>
          <w:sz w:val="22"/>
        </w:rPr>
      </w:pPr>
      <w:r w:rsidRPr="001D6129">
        <w:rPr>
          <w:rFonts w:ascii="Arial" w:eastAsia="Meiryo" w:hAnsi="Arial" w:cs="Arial"/>
          <w:sz w:val="22"/>
        </w:rPr>
        <w:t xml:space="preserve">In order to meet these demands, Fuji developed the flexible and expandable AIMEX </w:t>
      </w:r>
      <w:proofErr w:type="spellStart"/>
      <w:r w:rsidRPr="001D6129">
        <w:rPr>
          <w:rFonts w:ascii="Arial" w:eastAsia="Meiryo" w:hAnsi="Arial" w:cs="Arial"/>
          <w:sz w:val="22"/>
        </w:rPr>
        <w:t>IIIc</w:t>
      </w:r>
      <w:proofErr w:type="spellEnd"/>
      <w:r w:rsidRPr="001D6129">
        <w:rPr>
          <w:rFonts w:ascii="Arial" w:eastAsia="Meiryo" w:hAnsi="Arial" w:cs="Arial"/>
          <w:sz w:val="22"/>
        </w:rPr>
        <w:t xml:space="preserve">, which was announced in October 2015. On this occasion we would like to announce the release of the AIMEX III, a machine built with the same concepts as the AIMEX </w:t>
      </w:r>
      <w:proofErr w:type="spellStart"/>
      <w:r w:rsidRPr="001D6129">
        <w:rPr>
          <w:rFonts w:ascii="Arial" w:eastAsia="Meiryo" w:hAnsi="Arial" w:cs="Arial"/>
          <w:sz w:val="22"/>
        </w:rPr>
        <w:t>IIIc</w:t>
      </w:r>
      <w:proofErr w:type="spellEnd"/>
      <w:r w:rsidRPr="001D6129">
        <w:rPr>
          <w:rFonts w:ascii="Arial" w:eastAsia="Meiryo" w:hAnsi="Arial" w:cs="Arial"/>
          <w:sz w:val="22"/>
        </w:rPr>
        <w:t>, as well as the ability to produce large panels.</w:t>
      </w:r>
    </w:p>
    <w:p w14:paraId="5A3785C6" w14:textId="77777777" w:rsidR="00E86A82" w:rsidRDefault="00E86A82" w:rsidP="001D265F">
      <w:pPr>
        <w:spacing w:line="320" w:lineRule="exact"/>
        <w:ind w:leftChars="337" w:left="354" w:firstLine="1"/>
        <w:jc w:val="left"/>
        <w:rPr>
          <w:rFonts w:ascii="Arial" w:eastAsia="Meiryo" w:hAnsi="Arial" w:cs="Arial"/>
          <w:sz w:val="22"/>
        </w:rPr>
      </w:pPr>
    </w:p>
    <w:p w14:paraId="115BBA7D" w14:textId="77777777" w:rsidR="001D265F" w:rsidRPr="001D6129" w:rsidRDefault="001D265F" w:rsidP="001D265F">
      <w:pPr>
        <w:spacing w:line="320" w:lineRule="exact"/>
        <w:ind w:leftChars="337" w:left="354" w:firstLine="1"/>
        <w:jc w:val="left"/>
        <w:rPr>
          <w:rFonts w:ascii="Arial" w:eastAsia="Meiryo" w:hAnsi="Arial" w:cs="Arial"/>
          <w:sz w:val="22"/>
        </w:rPr>
      </w:pPr>
    </w:p>
    <w:p w14:paraId="1DC16AFE" w14:textId="58A858DC" w:rsidR="0033379A" w:rsidRDefault="0033379A" w:rsidP="002463FB">
      <w:pPr>
        <w:spacing w:line="320" w:lineRule="exact"/>
        <w:jc w:val="left"/>
        <w:rPr>
          <w:rFonts w:ascii="Arial" w:eastAsia="Meiryo" w:hAnsi="Arial" w:cs="Arial"/>
          <w:b/>
          <w:bCs/>
          <w:sz w:val="22"/>
        </w:rPr>
      </w:pPr>
      <w:r w:rsidRPr="001D6129">
        <w:rPr>
          <w:rFonts w:ascii="Arial" w:eastAsia="Meiryo" w:hAnsi="Arial" w:cs="Arial"/>
          <w:b/>
          <w:bCs/>
          <w:sz w:val="22"/>
        </w:rPr>
        <w:t>Product features</w:t>
      </w:r>
    </w:p>
    <w:p w14:paraId="4080CA8B" w14:textId="77777777" w:rsidR="001D265F" w:rsidRDefault="001D265F" w:rsidP="002463FB">
      <w:pPr>
        <w:spacing w:line="320" w:lineRule="exact"/>
        <w:jc w:val="left"/>
        <w:rPr>
          <w:rFonts w:ascii="Arial" w:eastAsia="Meiryo" w:hAnsi="Arial" w:cs="Arial"/>
          <w:b/>
          <w:bCs/>
          <w:sz w:val="22"/>
        </w:rPr>
      </w:pPr>
    </w:p>
    <w:p w14:paraId="27F534D5" w14:textId="2B939F7B" w:rsidR="001D265F" w:rsidRPr="001D265F" w:rsidRDefault="00B07CCC" w:rsidP="00201878">
      <w:pPr>
        <w:pStyle w:val="Anrede"/>
        <w:numPr>
          <w:ilvl w:val="0"/>
          <w:numId w:val="2"/>
        </w:numPr>
        <w:spacing w:line="320" w:lineRule="exact"/>
        <w:ind w:leftChars="715" w:left="1471"/>
      </w:pPr>
      <w:r w:rsidRPr="001D265F">
        <w:rPr>
          <w:rFonts w:ascii="Arial" w:eastAsia="Meiryo" w:hAnsi="Arial" w:cs="Arial"/>
          <w:sz w:val="22"/>
          <w:szCs w:val="22"/>
        </w:rPr>
        <w:t>Optimal for high-mix production</w:t>
      </w:r>
      <w:r w:rsidR="001D265F" w:rsidRPr="001D265F">
        <w:rPr>
          <w:rFonts w:ascii="Arial" w:eastAsia="Meiryo" w:hAnsi="Arial" w:cs="Arial"/>
          <w:sz w:val="22"/>
          <w:szCs w:val="22"/>
        </w:rPr>
        <w:br/>
      </w:r>
      <w:proofErr w:type="gramStart"/>
      <w:r w:rsidR="00CC2CE6" w:rsidRPr="001D265F">
        <w:rPr>
          <w:rFonts w:ascii="Arial" w:eastAsia="Meiryo" w:hAnsi="Arial" w:cs="Arial"/>
          <w:sz w:val="22"/>
          <w:szCs w:val="22"/>
        </w:rPr>
        <w:t>It</w:t>
      </w:r>
      <w:proofErr w:type="gramEnd"/>
      <w:r w:rsidR="00CC2CE6" w:rsidRPr="001D265F">
        <w:rPr>
          <w:rFonts w:ascii="Arial" w:eastAsia="Meiryo" w:hAnsi="Arial" w:cs="Arial"/>
          <w:sz w:val="22"/>
          <w:szCs w:val="22"/>
        </w:rPr>
        <w:t xml:space="preserve"> has</w:t>
      </w:r>
      <w:r w:rsidRPr="001D265F">
        <w:rPr>
          <w:rFonts w:ascii="Arial" w:eastAsia="Meiryo" w:hAnsi="Arial" w:cs="Arial"/>
          <w:sz w:val="22"/>
          <w:szCs w:val="22"/>
        </w:rPr>
        <w:t xml:space="preserve"> </w:t>
      </w:r>
      <w:r w:rsidR="00CC2CE6" w:rsidRPr="001D265F">
        <w:rPr>
          <w:rFonts w:ascii="Arial" w:eastAsia="Meiryo" w:hAnsi="Arial" w:cs="Arial"/>
          <w:sz w:val="22"/>
          <w:szCs w:val="22"/>
        </w:rPr>
        <w:t xml:space="preserve">an </w:t>
      </w:r>
      <w:r w:rsidRPr="001D265F">
        <w:rPr>
          <w:rFonts w:ascii="Arial" w:eastAsia="Meiryo" w:hAnsi="Arial" w:cs="Arial"/>
          <w:sz w:val="22"/>
          <w:szCs w:val="22"/>
        </w:rPr>
        <w:t xml:space="preserve">industry top class in loadable number of parts with </w:t>
      </w:r>
      <w:r w:rsidR="00CC2CE6" w:rsidRPr="001D265F">
        <w:rPr>
          <w:rFonts w:ascii="Arial" w:eastAsia="Meiryo" w:hAnsi="Arial" w:cs="Arial"/>
          <w:sz w:val="22"/>
          <w:szCs w:val="22"/>
        </w:rPr>
        <w:t xml:space="preserve">up to </w:t>
      </w:r>
      <w:r w:rsidRPr="001D265F">
        <w:rPr>
          <w:rFonts w:ascii="Arial" w:eastAsia="Meiryo" w:hAnsi="Arial" w:cs="Arial"/>
          <w:sz w:val="22"/>
          <w:szCs w:val="22"/>
        </w:rPr>
        <w:t xml:space="preserve">130 part supply positions. AIMEX III also enables you to increase the loadable number approximately 1.5 times more </w:t>
      </w:r>
      <w:r w:rsidR="00CC2CE6" w:rsidRPr="001D265F">
        <w:rPr>
          <w:rFonts w:ascii="Arial" w:eastAsia="Meiryo" w:hAnsi="Arial" w:cs="Arial"/>
          <w:sz w:val="22"/>
          <w:szCs w:val="22"/>
        </w:rPr>
        <w:t>by using</w:t>
      </w:r>
      <w:r w:rsidRPr="001D265F">
        <w:rPr>
          <w:rFonts w:ascii="Arial" w:eastAsia="Meiryo" w:hAnsi="Arial" w:cs="Arial"/>
          <w:sz w:val="22"/>
          <w:szCs w:val="22"/>
        </w:rPr>
        <w:t xml:space="preserve"> </w:t>
      </w:r>
      <w:proofErr w:type="spellStart"/>
      <w:r w:rsidRPr="001D265F">
        <w:rPr>
          <w:rFonts w:ascii="Arial" w:eastAsia="Meiryo" w:hAnsi="Arial" w:cs="Arial"/>
          <w:sz w:val="22"/>
          <w:szCs w:val="22"/>
        </w:rPr>
        <w:t>HexaFeeders</w:t>
      </w:r>
      <w:proofErr w:type="spellEnd"/>
      <w:r w:rsidRPr="001D265F">
        <w:rPr>
          <w:rFonts w:ascii="Arial" w:eastAsia="Meiryo" w:hAnsi="Arial" w:cs="Arial"/>
          <w:sz w:val="22"/>
          <w:szCs w:val="22"/>
        </w:rPr>
        <w:t>, offering flexible response</w:t>
      </w:r>
      <w:r w:rsidR="003B481D" w:rsidRPr="001D265F">
        <w:rPr>
          <w:rFonts w:ascii="Arial" w:eastAsia="Meiryo" w:hAnsi="Arial" w:cs="Arial"/>
          <w:sz w:val="22"/>
          <w:szCs w:val="22"/>
        </w:rPr>
        <w:t>s</w:t>
      </w:r>
      <w:r w:rsidRPr="001D265F">
        <w:rPr>
          <w:rFonts w:ascii="Arial" w:eastAsia="Meiryo" w:hAnsi="Arial" w:cs="Arial"/>
          <w:sz w:val="22"/>
          <w:szCs w:val="22"/>
        </w:rPr>
        <w:t xml:space="preserve"> to variations in the quantity of supplied parts.</w:t>
      </w:r>
      <w:r w:rsidR="00AB4131" w:rsidRPr="001D265F">
        <w:rPr>
          <w:rFonts w:ascii="Arial" w:eastAsia="Meiryo" w:hAnsi="Arial" w:cs="Arial"/>
          <w:sz w:val="22"/>
          <w:szCs w:val="22"/>
        </w:rPr>
        <w:t xml:space="preserve"> Furthermore, </w:t>
      </w:r>
      <w:r w:rsidR="003B481D" w:rsidRPr="001D265F">
        <w:rPr>
          <w:rFonts w:ascii="Arial" w:eastAsia="Meiryo" w:hAnsi="Arial" w:cs="Arial"/>
          <w:sz w:val="22"/>
          <w:szCs w:val="22"/>
        </w:rPr>
        <w:t>using a</w:t>
      </w:r>
      <w:r w:rsidR="00AB4131" w:rsidRPr="001D265F">
        <w:rPr>
          <w:rFonts w:ascii="Arial" w:eastAsia="Meiryo" w:hAnsi="Arial" w:cs="Arial"/>
          <w:sz w:val="22"/>
          <w:szCs w:val="22"/>
        </w:rPr>
        <w:t xml:space="preserve"> </w:t>
      </w:r>
      <w:proofErr w:type="spellStart"/>
      <w:r w:rsidR="00AB4131" w:rsidRPr="001D265F">
        <w:rPr>
          <w:rFonts w:ascii="Arial" w:eastAsia="Meiryo" w:hAnsi="Arial" w:cs="Arial"/>
          <w:sz w:val="22"/>
          <w:szCs w:val="22"/>
        </w:rPr>
        <w:t>DynaHead</w:t>
      </w:r>
      <w:proofErr w:type="spellEnd"/>
      <w:r w:rsidR="00AB4131" w:rsidRPr="001D265F">
        <w:rPr>
          <w:rFonts w:ascii="Arial" w:eastAsia="Meiryo" w:hAnsi="Arial" w:cs="Arial"/>
          <w:sz w:val="22"/>
          <w:szCs w:val="22"/>
        </w:rPr>
        <w:t xml:space="preserve"> (DX) makes </w:t>
      </w:r>
      <w:r w:rsidR="003B481D" w:rsidRPr="001D265F">
        <w:rPr>
          <w:rFonts w:ascii="Arial" w:eastAsia="Meiryo" w:hAnsi="Arial" w:cs="Arial"/>
          <w:sz w:val="22"/>
          <w:szCs w:val="22"/>
        </w:rPr>
        <w:t>it possible for a</w:t>
      </w:r>
      <w:r w:rsidR="00AB4131" w:rsidRPr="001D265F">
        <w:rPr>
          <w:rFonts w:ascii="Arial" w:eastAsia="Meiryo" w:hAnsi="Arial" w:cs="Arial"/>
          <w:sz w:val="22"/>
          <w:szCs w:val="22"/>
        </w:rPr>
        <w:t xml:space="preserve"> single machine to support a wide range of part sizes from 0402 (01005") parts* to 74 x 74 mm parts.</w:t>
      </w:r>
      <w:r w:rsidR="001D265F" w:rsidRPr="001D265F">
        <w:rPr>
          <w:rFonts w:ascii="Arial" w:eastAsia="Meiryo" w:hAnsi="Arial" w:cs="Arial"/>
          <w:sz w:val="22"/>
          <w:szCs w:val="22"/>
        </w:rPr>
        <w:br/>
      </w:r>
      <w:r w:rsidR="00D94CB2" w:rsidRPr="001D265F">
        <w:rPr>
          <w:rFonts w:ascii="Arial" w:eastAsia="Meiryo" w:hAnsi="Arial" w:cs="Arial"/>
          <w:sz w:val="22"/>
          <w:szCs w:val="22"/>
        </w:rPr>
        <w:t xml:space="preserve">*0402 (01005") parts: </w:t>
      </w:r>
      <w:r w:rsidR="003B481D" w:rsidRPr="001D265F">
        <w:rPr>
          <w:rFonts w:ascii="Arial" w:eastAsia="Meiryo" w:hAnsi="Arial" w:cs="Arial"/>
          <w:sz w:val="22"/>
          <w:szCs w:val="22"/>
        </w:rPr>
        <w:t xml:space="preserve">Electronic </w:t>
      </w:r>
      <w:r w:rsidR="00D94CB2" w:rsidRPr="001D265F">
        <w:rPr>
          <w:rFonts w:ascii="Arial" w:eastAsia="Meiryo" w:hAnsi="Arial" w:cs="Arial"/>
          <w:sz w:val="22"/>
          <w:szCs w:val="22"/>
        </w:rPr>
        <w:t>components 0.4 x 0.2 mm in size</w:t>
      </w:r>
      <w:r w:rsidR="001D265F">
        <w:rPr>
          <w:rFonts w:ascii="Arial" w:eastAsia="Meiryo" w:hAnsi="Arial" w:cs="Arial"/>
          <w:sz w:val="22"/>
          <w:szCs w:val="22"/>
        </w:rPr>
        <w:br/>
      </w:r>
    </w:p>
    <w:p w14:paraId="56165F59" w14:textId="327B73EC" w:rsidR="001D265F" w:rsidRPr="001D265F" w:rsidRDefault="0013117E" w:rsidP="009C3772">
      <w:pPr>
        <w:pStyle w:val="Listenabsatz"/>
        <w:numPr>
          <w:ilvl w:val="0"/>
          <w:numId w:val="2"/>
        </w:numPr>
        <w:spacing w:line="320" w:lineRule="exact"/>
        <w:ind w:leftChars="715" w:left="1471"/>
        <w:jc w:val="left"/>
        <w:rPr>
          <w:rFonts w:ascii="Arial" w:eastAsia="Meiryo" w:hAnsi="Arial" w:cs="Arial"/>
          <w:sz w:val="22"/>
        </w:rPr>
      </w:pPr>
      <w:r w:rsidRPr="001D265F">
        <w:rPr>
          <w:rFonts w:ascii="Arial" w:eastAsia="Meiryo" w:hAnsi="Arial" w:cs="Arial"/>
          <w:sz w:val="22"/>
        </w:rPr>
        <w:t>Support for variable-mix, variable-volume production</w:t>
      </w:r>
      <w:r w:rsidR="001D265F" w:rsidRPr="001D265F">
        <w:rPr>
          <w:rFonts w:ascii="Arial" w:eastAsia="Meiryo" w:hAnsi="Arial" w:cs="Arial"/>
          <w:sz w:val="22"/>
        </w:rPr>
        <w:br/>
      </w:r>
      <w:proofErr w:type="gramStart"/>
      <w:r w:rsidRPr="001D265F">
        <w:rPr>
          <w:rFonts w:ascii="Arial" w:eastAsia="Meiryo" w:hAnsi="Arial" w:cs="Arial"/>
          <w:sz w:val="22"/>
        </w:rPr>
        <w:t>This</w:t>
      </w:r>
      <w:proofErr w:type="gramEnd"/>
      <w:r w:rsidRPr="001D265F">
        <w:rPr>
          <w:rFonts w:ascii="Arial" w:eastAsia="Meiryo" w:hAnsi="Arial" w:cs="Arial"/>
          <w:sz w:val="22"/>
        </w:rPr>
        <w:t xml:space="preserve"> machine </w:t>
      </w:r>
      <w:r w:rsidR="003B481D" w:rsidRPr="001D265F">
        <w:rPr>
          <w:rFonts w:ascii="Arial" w:eastAsia="Meiryo" w:hAnsi="Arial" w:cs="Arial"/>
          <w:sz w:val="22"/>
        </w:rPr>
        <w:t xml:space="preserve">can be set with a </w:t>
      </w:r>
      <w:r w:rsidRPr="001D265F">
        <w:rPr>
          <w:rFonts w:ascii="Arial" w:eastAsia="Meiryo" w:hAnsi="Arial" w:cs="Arial"/>
          <w:sz w:val="22"/>
        </w:rPr>
        <w:t xml:space="preserve">coplanarity check function which </w:t>
      </w:r>
      <w:r w:rsidR="003B481D" w:rsidRPr="001D265F">
        <w:rPr>
          <w:rFonts w:ascii="Arial" w:eastAsia="Meiryo" w:hAnsi="Arial" w:cs="Arial"/>
          <w:sz w:val="22"/>
        </w:rPr>
        <w:t xml:space="preserve">detects </w:t>
      </w:r>
      <w:r w:rsidRPr="001D265F">
        <w:rPr>
          <w:rFonts w:ascii="Arial" w:eastAsia="Meiryo" w:hAnsi="Arial" w:cs="Arial"/>
          <w:sz w:val="22"/>
        </w:rPr>
        <w:t xml:space="preserve">defects </w:t>
      </w:r>
      <w:r w:rsidR="003B481D" w:rsidRPr="001D265F">
        <w:rPr>
          <w:rFonts w:ascii="Arial" w:eastAsia="Meiryo" w:hAnsi="Arial" w:cs="Arial"/>
          <w:sz w:val="22"/>
        </w:rPr>
        <w:t>on</w:t>
      </w:r>
      <w:r w:rsidRPr="001D265F">
        <w:rPr>
          <w:rFonts w:ascii="Arial" w:eastAsia="Meiryo" w:hAnsi="Arial" w:cs="Arial"/>
          <w:sz w:val="22"/>
        </w:rPr>
        <w:t xml:space="preserve"> parts before placement as well as</w:t>
      </w:r>
      <w:r w:rsidR="003B481D" w:rsidRPr="001D265F">
        <w:rPr>
          <w:rFonts w:ascii="Arial" w:eastAsia="Meiryo" w:hAnsi="Arial" w:cs="Arial"/>
          <w:sz w:val="22"/>
        </w:rPr>
        <w:t xml:space="preserve"> the</w:t>
      </w:r>
      <w:r w:rsidRPr="001D265F">
        <w:rPr>
          <w:rFonts w:ascii="Arial" w:eastAsia="Meiryo" w:hAnsi="Arial" w:cs="Arial"/>
          <w:sz w:val="22"/>
        </w:rPr>
        <w:t xml:space="preserve"> LCR check function. This enables users to build quality in </w:t>
      </w:r>
      <w:r w:rsidR="003B481D" w:rsidRPr="001D265F">
        <w:rPr>
          <w:rFonts w:ascii="Arial" w:eastAsia="Meiryo" w:hAnsi="Arial" w:cs="Arial"/>
          <w:sz w:val="22"/>
        </w:rPr>
        <w:t xml:space="preserve">the production </w:t>
      </w:r>
      <w:r w:rsidRPr="001D265F">
        <w:rPr>
          <w:rFonts w:ascii="Arial" w:eastAsia="Meiryo" w:hAnsi="Arial" w:cs="Arial"/>
          <w:sz w:val="22"/>
        </w:rPr>
        <w:t>process even for variable-mix variable-volume production.</w:t>
      </w:r>
      <w:r w:rsidR="001D265F">
        <w:rPr>
          <w:rFonts w:ascii="Arial" w:eastAsia="Meiryo" w:hAnsi="Arial" w:cs="Arial"/>
          <w:sz w:val="22"/>
        </w:rPr>
        <w:br/>
      </w:r>
    </w:p>
    <w:p w14:paraId="2410B2DB" w14:textId="08008229" w:rsidR="001D265F" w:rsidRPr="001D265F" w:rsidRDefault="001D6129" w:rsidP="001D265F">
      <w:pPr>
        <w:pStyle w:val="Listenabsatz"/>
        <w:numPr>
          <w:ilvl w:val="0"/>
          <w:numId w:val="2"/>
        </w:numPr>
        <w:spacing w:line="320" w:lineRule="exact"/>
        <w:ind w:leftChars="715" w:left="1471"/>
        <w:jc w:val="left"/>
        <w:rPr>
          <w:rFonts w:ascii="Arial" w:eastAsia="Meiryo" w:hAnsi="Arial" w:cs="Arial"/>
          <w:sz w:val="22"/>
        </w:rPr>
      </w:pPr>
      <w:r w:rsidRPr="001D265F">
        <w:rPr>
          <w:rFonts w:ascii="Arial" w:eastAsia="Meiryo" w:hAnsi="Arial" w:cs="Arial"/>
          <w:sz w:val="22"/>
        </w:rPr>
        <w:t>Large panel support</w:t>
      </w:r>
      <w:r w:rsidR="001D265F" w:rsidRPr="001D265F">
        <w:rPr>
          <w:rFonts w:ascii="Arial" w:eastAsia="Meiryo" w:hAnsi="Arial" w:cs="Arial"/>
          <w:sz w:val="22"/>
        </w:rPr>
        <w:br/>
      </w:r>
      <w:r w:rsidRPr="001D265F">
        <w:rPr>
          <w:rFonts w:ascii="Arial" w:eastAsia="Meiryo" w:hAnsi="Arial" w:cs="Arial"/>
          <w:sz w:val="22"/>
        </w:rPr>
        <w:t>Panels up to 774 x 710 mm can be produced. A double conveyor configuration is also possible, allowing for production using many different panel types and production modes.</w:t>
      </w:r>
      <w:r w:rsidR="001D265F">
        <w:rPr>
          <w:rFonts w:ascii="Arial" w:eastAsia="Meiryo" w:hAnsi="Arial" w:cs="Arial"/>
          <w:sz w:val="22"/>
        </w:rPr>
        <w:br/>
      </w:r>
    </w:p>
    <w:p w14:paraId="3BEE27E6" w14:textId="2B31F83F" w:rsidR="001D265F" w:rsidRPr="001D265F" w:rsidRDefault="000B009D" w:rsidP="001D265F">
      <w:pPr>
        <w:pStyle w:val="Listenabsatz"/>
        <w:numPr>
          <w:ilvl w:val="0"/>
          <w:numId w:val="2"/>
        </w:numPr>
        <w:spacing w:line="320" w:lineRule="exact"/>
        <w:ind w:leftChars="715" w:left="1471"/>
        <w:jc w:val="left"/>
        <w:rPr>
          <w:rFonts w:ascii="Arial" w:eastAsia="Meiryo" w:hAnsi="Arial" w:cs="Arial"/>
          <w:sz w:val="22"/>
        </w:rPr>
      </w:pPr>
      <w:r w:rsidRPr="001D265F">
        <w:rPr>
          <w:rFonts w:ascii="Arial" w:eastAsia="Meiryo" w:hAnsi="Arial" w:cs="Arial"/>
          <w:sz w:val="22"/>
        </w:rPr>
        <w:t>Easy-to-use, on-machine editing function</w:t>
      </w:r>
      <w:r w:rsidR="001D265F" w:rsidRPr="001D265F">
        <w:rPr>
          <w:rFonts w:ascii="Arial" w:eastAsia="Meiryo" w:hAnsi="Arial" w:cs="Arial"/>
          <w:sz w:val="22"/>
        </w:rPr>
        <w:br/>
      </w:r>
      <w:r w:rsidRPr="001D265F">
        <w:rPr>
          <w:rFonts w:ascii="Arial" w:eastAsia="Meiryo" w:hAnsi="Arial" w:cs="Arial"/>
          <w:sz w:val="22"/>
        </w:rPr>
        <w:t>12-inch touch screens improve usability on AIMEX III.</w:t>
      </w:r>
      <w:r w:rsidR="001D265F" w:rsidRPr="001D265F">
        <w:rPr>
          <w:rFonts w:ascii="Arial" w:eastAsia="Meiryo" w:hAnsi="Arial" w:cs="Arial"/>
          <w:sz w:val="22"/>
        </w:rPr>
        <w:br/>
      </w:r>
      <w:r w:rsidRPr="001D265F">
        <w:rPr>
          <w:rFonts w:ascii="Arial" w:eastAsia="Meiryo" w:hAnsi="Arial" w:cs="Arial"/>
          <w:sz w:val="22"/>
        </w:rPr>
        <w:t>Ramping up production for new products and responding to errors can now be handled faster than ever with on-machine editing.</w:t>
      </w:r>
      <w:r w:rsidR="001D265F">
        <w:rPr>
          <w:rFonts w:ascii="Arial" w:eastAsia="Meiryo" w:hAnsi="Arial" w:cs="Arial"/>
          <w:sz w:val="22"/>
        </w:rPr>
        <w:br/>
      </w:r>
      <w:r w:rsidR="001D265F">
        <w:rPr>
          <w:rFonts w:ascii="Arial" w:eastAsia="Meiryo" w:hAnsi="Arial" w:cs="Arial"/>
          <w:sz w:val="22"/>
        </w:rPr>
        <w:br/>
      </w:r>
    </w:p>
    <w:p w14:paraId="4186A2BD" w14:textId="39AC89DF" w:rsidR="000B009D" w:rsidRPr="001D265F" w:rsidRDefault="000B009D" w:rsidP="00A065CB">
      <w:pPr>
        <w:pStyle w:val="Anrede"/>
        <w:numPr>
          <w:ilvl w:val="0"/>
          <w:numId w:val="2"/>
        </w:numPr>
        <w:spacing w:line="320" w:lineRule="exact"/>
        <w:ind w:leftChars="715" w:left="1471"/>
        <w:rPr>
          <w:rFonts w:ascii="Arial" w:eastAsia="Meiryo" w:hAnsi="Arial" w:cs="Arial"/>
          <w:sz w:val="22"/>
          <w:szCs w:val="22"/>
        </w:rPr>
      </w:pPr>
      <w:r w:rsidRPr="001D265F">
        <w:rPr>
          <w:rFonts w:ascii="Arial" w:eastAsia="Meiryo" w:hAnsi="Arial" w:cs="Arial"/>
          <w:sz w:val="22"/>
          <w:szCs w:val="22"/>
        </w:rPr>
        <w:t>Improved productivity</w:t>
      </w:r>
      <w:r w:rsidR="001D265F" w:rsidRPr="001D265F">
        <w:rPr>
          <w:rFonts w:ascii="Arial" w:eastAsia="Meiryo" w:hAnsi="Arial" w:cs="Arial"/>
          <w:sz w:val="22"/>
          <w:szCs w:val="22"/>
        </w:rPr>
        <w:br/>
      </w:r>
      <w:r w:rsidRPr="001D265F">
        <w:rPr>
          <w:rFonts w:ascii="Arial" w:eastAsia="Meiryo" w:hAnsi="Arial" w:cs="Arial"/>
          <w:sz w:val="22"/>
          <w:szCs w:val="22"/>
        </w:rPr>
        <w:t xml:space="preserve">Productivity is better with the </w:t>
      </w:r>
      <w:proofErr w:type="gramStart"/>
      <w:r w:rsidRPr="001D265F">
        <w:rPr>
          <w:rFonts w:ascii="Arial" w:eastAsia="Meiryo" w:hAnsi="Arial" w:cs="Arial"/>
          <w:sz w:val="22"/>
          <w:szCs w:val="22"/>
        </w:rPr>
        <w:t>high speed</w:t>
      </w:r>
      <w:proofErr w:type="gramEnd"/>
      <w:r w:rsidRPr="001D265F">
        <w:rPr>
          <w:rFonts w:ascii="Arial" w:eastAsia="Meiryo" w:hAnsi="Arial" w:cs="Arial"/>
          <w:sz w:val="22"/>
          <w:szCs w:val="22"/>
        </w:rPr>
        <w:t xml:space="preserve"> head H24, providing </w:t>
      </w:r>
      <w:r w:rsidR="00642EDC" w:rsidRPr="001D265F">
        <w:rPr>
          <w:rFonts w:ascii="Arial" w:eastAsia="Meiryo" w:hAnsi="Arial" w:cs="Arial"/>
          <w:sz w:val="22"/>
          <w:szCs w:val="22"/>
        </w:rPr>
        <w:t xml:space="preserve">a </w:t>
      </w:r>
      <w:r w:rsidRPr="001D265F">
        <w:rPr>
          <w:rFonts w:ascii="Arial" w:eastAsia="Meiryo" w:hAnsi="Arial" w:cs="Arial"/>
          <w:sz w:val="22"/>
          <w:szCs w:val="22"/>
        </w:rPr>
        <w:t xml:space="preserve">throughput </w:t>
      </w:r>
      <w:r w:rsidR="00642EDC" w:rsidRPr="001D265F">
        <w:rPr>
          <w:rFonts w:ascii="Arial" w:eastAsia="Meiryo" w:hAnsi="Arial" w:cs="Arial"/>
          <w:sz w:val="22"/>
          <w:szCs w:val="22"/>
        </w:rPr>
        <w:t xml:space="preserve">of </w:t>
      </w:r>
      <w:r w:rsidRPr="001D265F">
        <w:rPr>
          <w:rFonts w:ascii="Arial" w:eastAsia="Meiryo" w:hAnsi="Arial" w:cs="Arial"/>
          <w:sz w:val="22"/>
          <w:szCs w:val="22"/>
        </w:rPr>
        <w:t xml:space="preserve">37,000 </w:t>
      </w:r>
      <w:proofErr w:type="spellStart"/>
      <w:r w:rsidRPr="001D265F">
        <w:rPr>
          <w:rFonts w:ascii="Arial" w:eastAsia="Meiryo" w:hAnsi="Arial" w:cs="Arial"/>
          <w:sz w:val="22"/>
          <w:szCs w:val="22"/>
        </w:rPr>
        <w:t>cph</w:t>
      </w:r>
      <w:proofErr w:type="spellEnd"/>
      <w:r w:rsidRPr="001D265F">
        <w:rPr>
          <w:rFonts w:ascii="Arial" w:eastAsia="Meiryo" w:hAnsi="Arial" w:cs="Arial"/>
          <w:sz w:val="22"/>
          <w:szCs w:val="22"/>
        </w:rPr>
        <w:t xml:space="preserve">* in high productivity mode with </w:t>
      </w:r>
      <w:r w:rsidR="00642EDC" w:rsidRPr="001D265F">
        <w:rPr>
          <w:rFonts w:ascii="Arial" w:eastAsia="Meiryo" w:hAnsi="Arial" w:cs="Arial"/>
          <w:sz w:val="22"/>
          <w:szCs w:val="22"/>
        </w:rPr>
        <w:t xml:space="preserve">a </w:t>
      </w:r>
      <w:r w:rsidRPr="001D265F">
        <w:rPr>
          <w:rFonts w:ascii="Arial" w:eastAsia="Meiryo" w:hAnsi="Arial" w:cs="Arial"/>
          <w:sz w:val="22"/>
          <w:szCs w:val="22"/>
        </w:rPr>
        <w:t xml:space="preserve">placing accuracy of ±38 </w:t>
      </w:r>
      <w:proofErr w:type="spellStart"/>
      <w:r w:rsidRPr="001D265F">
        <w:rPr>
          <w:rFonts w:ascii="Arial" w:eastAsia="Meiryo" w:hAnsi="Arial" w:cs="Arial"/>
          <w:sz w:val="22"/>
          <w:szCs w:val="22"/>
        </w:rPr>
        <w:t>μm</w:t>
      </w:r>
      <w:proofErr w:type="spellEnd"/>
      <w:r w:rsidRPr="001D265F">
        <w:rPr>
          <w:rFonts w:ascii="Arial" w:eastAsia="Meiryo" w:hAnsi="Arial" w:cs="Arial"/>
          <w:sz w:val="22"/>
          <w:szCs w:val="22"/>
        </w:rPr>
        <w:t>.</w:t>
      </w:r>
      <w:r w:rsidR="001D265F">
        <w:rPr>
          <w:rFonts w:ascii="Arial" w:eastAsia="Meiryo" w:hAnsi="Arial" w:cs="Arial"/>
          <w:sz w:val="22"/>
          <w:szCs w:val="22"/>
        </w:rPr>
        <w:br/>
      </w:r>
      <w:r w:rsidRPr="001D265F">
        <w:rPr>
          <w:rFonts w:ascii="Arial" w:eastAsia="Meiryo" w:hAnsi="Arial" w:cs="Arial"/>
          <w:sz w:val="22"/>
          <w:szCs w:val="22"/>
        </w:rPr>
        <w:t>*</w:t>
      </w:r>
      <w:proofErr w:type="spellStart"/>
      <w:r w:rsidRPr="001D265F">
        <w:rPr>
          <w:rFonts w:ascii="Arial" w:eastAsia="Meiryo" w:hAnsi="Arial" w:cs="Arial"/>
          <w:sz w:val="22"/>
          <w:szCs w:val="22"/>
        </w:rPr>
        <w:t>C</w:t>
      </w:r>
      <w:r w:rsidR="008F7975" w:rsidRPr="001D265F">
        <w:rPr>
          <w:rFonts w:ascii="Arial" w:eastAsia="Meiryo" w:hAnsi="Arial" w:cs="Arial"/>
          <w:sz w:val="22"/>
          <w:szCs w:val="22"/>
        </w:rPr>
        <w:t>ph</w:t>
      </w:r>
      <w:proofErr w:type="spellEnd"/>
      <w:r w:rsidRPr="001D265F">
        <w:rPr>
          <w:rFonts w:ascii="Arial" w:eastAsia="Meiryo" w:hAnsi="Arial" w:cs="Arial"/>
          <w:sz w:val="22"/>
          <w:szCs w:val="22"/>
        </w:rPr>
        <w:t xml:space="preserve">: </w:t>
      </w:r>
      <w:r w:rsidR="00642EDC" w:rsidRPr="001D265F">
        <w:rPr>
          <w:rFonts w:ascii="Arial" w:eastAsia="Meiryo" w:hAnsi="Arial" w:cs="Arial"/>
          <w:sz w:val="22"/>
          <w:szCs w:val="22"/>
        </w:rPr>
        <w:t>C</w:t>
      </w:r>
      <w:r w:rsidRPr="001D265F">
        <w:rPr>
          <w:rFonts w:ascii="Arial" w:eastAsia="Meiryo" w:hAnsi="Arial" w:cs="Arial"/>
          <w:sz w:val="22"/>
          <w:szCs w:val="22"/>
        </w:rPr>
        <w:t>hip</w:t>
      </w:r>
      <w:r w:rsidR="00642EDC" w:rsidRPr="001D265F">
        <w:rPr>
          <w:rFonts w:ascii="Arial" w:eastAsia="Meiryo" w:hAnsi="Arial" w:cs="Arial"/>
          <w:sz w:val="22"/>
          <w:szCs w:val="22"/>
        </w:rPr>
        <w:t>s</w:t>
      </w:r>
      <w:r w:rsidRPr="001D265F">
        <w:rPr>
          <w:rFonts w:ascii="Arial" w:eastAsia="Meiryo" w:hAnsi="Arial" w:cs="Arial"/>
          <w:sz w:val="22"/>
          <w:szCs w:val="22"/>
        </w:rPr>
        <w:t xml:space="preserve"> per hour, </w:t>
      </w:r>
      <w:r w:rsidR="00642EDC" w:rsidRPr="001D265F">
        <w:rPr>
          <w:rFonts w:ascii="Arial" w:eastAsia="Meiryo" w:hAnsi="Arial" w:cs="Arial"/>
          <w:sz w:val="22"/>
          <w:szCs w:val="22"/>
        </w:rPr>
        <w:t>the</w:t>
      </w:r>
      <w:r w:rsidRPr="001D265F">
        <w:rPr>
          <w:rFonts w:ascii="Arial" w:eastAsia="Meiryo" w:hAnsi="Arial" w:cs="Arial"/>
          <w:sz w:val="22"/>
          <w:szCs w:val="22"/>
        </w:rPr>
        <w:t xml:space="preserve"> </w:t>
      </w:r>
      <w:r w:rsidR="00642EDC" w:rsidRPr="001D265F">
        <w:rPr>
          <w:rFonts w:ascii="Arial" w:eastAsia="Meiryo" w:hAnsi="Arial" w:cs="Arial"/>
          <w:sz w:val="22"/>
          <w:szCs w:val="22"/>
        </w:rPr>
        <w:t xml:space="preserve">quantity </w:t>
      </w:r>
      <w:r w:rsidRPr="001D265F">
        <w:rPr>
          <w:rFonts w:ascii="Arial" w:eastAsia="Meiryo" w:hAnsi="Arial" w:cs="Arial"/>
          <w:sz w:val="22"/>
          <w:szCs w:val="22"/>
        </w:rPr>
        <w:t>of parts</w:t>
      </w:r>
      <w:r w:rsidR="001004C2" w:rsidRPr="001D265F">
        <w:rPr>
          <w:rFonts w:ascii="Arial" w:eastAsia="Meiryo" w:hAnsi="Arial" w:cs="Arial"/>
          <w:sz w:val="22"/>
          <w:szCs w:val="22"/>
        </w:rPr>
        <w:t xml:space="preserve"> possible to be placed per hour</w:t>
      </w:r>
    </w:p>
    <w:p w14:paraId="3DA41B42" w14:textId="31F8C59D" w:rsidR="001022A0" w:rsidRDefault="001022A0" w:rsidP="001D265F">
      <w:pPr>
        <w:pStyle w:val="Listenabsatz"/>
        <w:spacing w:line="320" w:lineRule="exact"/>
        <w:ind w:leftChars="710" w:left="745"/>
        <w:jc w:val="left"/>
        <w:rPr>
          <w:rFonts w:ascii="Arial" w:eastAsia="Meiryo" w:hAnsi="Arial" w:cs="Arial"/>
          <w:sz w:val="22"/>
        </w:rPr>
      </w:pPr>
    </w:p>
    <w:p w14:paraId="46D08ECF" w14:textId="77777777" w:rsidR="001D265F" w:rsidRPr="001D6129" w:rsidRDefault="001D265F" w:rsidP="001D265F">
      <w:pPr>
        <w:pStyle w:val="Listenabsatz"/>
        <w:spacing w:line="320" w:lineRule="exact"/>
        <w:ind w:leftChars="710" w:left="745"/>
        <w:jc w:val="left"/>
        <w:rPr>
          <w:rFonts w:ascii="Arial" w:eastAsia="Meiryo" w:hAnsi="Arial" w:cs="Arial"/>
          <w:sz w:val="22"/>
        </w:rPr>
      </w:pPr>
      <w:bookmarkStart w:id="0" w:name="_GoBack"/>
      <w:bookmarkEnd w:id="0"/>
    </w:p>
    <w:p w14:paraId="2775AD37" w14:textId="6A7FE066" w:rsidR="0070012A" w:rsidRPr="001D265F" w:rsidRDefault="001D265F" w:rsidP="001D265F">
      <w:pPr>
        <w:rPr>
          <w:rFonts w:ascii="Arial" w:eastAsia="Meiryo" w:hAnsi="Arial" w:cs="Arial"/>
          <w:bCs/>
          <w:sz w:val="24"/>
          <w:szCs w:val="24"/>
          <w:u w:val="single"/>
        </w:rPr>
      </w:pPr>
      <w:r w:rsidRPr="001D6129">
        <w:rPr>
          <w:noProof/>
          <w:lang w:val="de-DE" w:eastAsia="de-DE"/>
        </w:rPr>
        <w:drawing>
          <wp:inline distT="0" distB="0" distL="0" distR="0" wp14:anchorId="45B1855C" wp14:editId="4655F409">
            <wp:extent cx="3895725" cy="2921989"/>
            <wp:effectExtent l="0" t="0" r="0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IMEXIII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8885" cy="293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012A" w:rsidRPr="001D265F" w:rsidSect="001D6129">
      <w:headerReference w:type="default" r:id="rId10"/>
      <w:pgSz w:w="11906" w:h="16838"/>
      <w:pgMar w:top="1440" w:right="1080" w:bottom="1440" w:left="108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5BB36" w14:textId="77777777" w:rsidR="00DE3ABA" w:rsidRDefault="00DE3ABA">
      <w:r>
        <w:separator/>
      </w:r>
    </w:p>
  </w:endnote>
  <w:endnote w:type="continuationSeparator" w:id="0">
    <w:p w14:paraId="1AD90F3E" w14:textId="77777777" w:rsidR="00DE3ABA" w:rsidRDefault="00DE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altName w:val="Didot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Arial Unicode MS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Didot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  <w:font w:name="Meiryo">
    <w:altName w:val="Arial Unicode MS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A118F" w14:textId="77777777" w:rsidR="00DE3ABA" w:rsidRDefault="00DE3ABA">
      <w:r>
        <w:separator/>
      </w:r>
    </w:p>
  </w:footnote>
  <w:footnote w:type="continuationSeparator" w:id="0">
    <w:p w14:paraId="04244A94" w14:textId="77777777" w:rsidR="00DE3ABA" w:rsidRDefault="00DE3AB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07B72" w14:textId="77777777" w:rsidR="008A56EE" w:rsidRDefault="008A56EE" w:rsidP="008A56EE">
    <w:pPr>
      <w:pStyle w:val="Kopfzeile"/>
      <w:jc w:val="left"/>
      <w:rPr>
        <w:rFonts w:asciiTheme="majorEastAsia" w:eastAsiaTheme="majorEastAsia" w:hAnsiTheme="majorEastAsia"/>
        <w:sz w:val="28"/>
        <w:szCs w:val="28"/>
      </w:rPr>
    </w:pPr>
    <w:r>
      <w:rPr>
        <w:noProof/>
        <w:lang w:val="de-DE" w:eastAsia="de-DE"/>
      </w:rPr>
      <w:drawing>
        <wp:inline distT="0" distB="0" distL="0" distR="0" wp14:anchorId="58633493" wp14:editId="01AC8ED9">
          <wp:extent cx="1562100" cy="438150"/>
          <wp:effectExtent l="0" t="0" r="0" b="0"/>
          <wp:docPr id="11" name="図 11" descr="FJ2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J2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597C98" w14:textId="77777777" w:rsidR="00A97FA9" w:rsidRDefault="00A97FA9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E7225"/>
    <w:multiLevelType w:val="hybridMultilevel"/>
    <w:tmpl w:val="CEA8B8D6"/>
    <w:lvl w:ilvl="0" w:tplc="90745380">
      <w:start w:val="1"/>
      <w:numFmt w:val="decimal"/>
      <w:lvlText w:val="(%1)"/>
      <w:lvlJc w:val="left"/>
      <w:pPr>
        <w:ind w:left="17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">
    <w:nsid w:val="54BB5AD6"/>
    <w:multiLevelType w:val="hybridMultilevel"/>
    <w:tmpl w:val="32D0A256"/>
    <w:lvl w:ilvl="0" w:tplc="778CD88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55"/>
    <w:rsid w:val="000274DB"/>
    <w:rsid w:val="0002798A"/>
    <w:rsid w:val="000447D5"/>
    <w:rsid w:val="000860D8"/>
    <w:rsid w:val="000B009D"/>
    <w:rsid w:val="000D26DA"/>
    <w:rsid w:val="001004C2"/>
    <w:rsid w:val="00100CE1"/>
    <w:rsid w:val="001022A0"/>
    <w:rsid w:val="00106EF6"/>
    <w:rsid w:val="001239E4"/>
    <w:rsid w:val="0013117E"/>
    <w:rsid w:val="00133830"/>
    <w:rsid w:val="00136672"/>
    <w:rsid w:val="00150857"/>
    <w:rsid w:val="00163A55"/>
    <w:rsid w:val="00180CD9"/>
    <w:rsid w:val="00183640"/>
    <w:rsid w:val="0019437A"/>
    <w:rsid w:val="00196948"/>
    <w:rsid w:val="001A7EA0"/>
    <w:rsid w:val="001B27B1"/>
    <w:rsid w:val="001B7FB1"/>
    <w:rsid w:val="001D265F"/>
    <w:rsid w:val="001D40DD"/>
    <w:rsid w:val="001D6129"/>
    <w:rsid w:val="001E0521"/>
    <w:rsid w:val="001E5E2B"/>
    <w:rsid w:val="001E6EC3"/>
    <w:rsid w:val="00201430"/>
    <w:rsid w:val="00217033"/>
    <w:rsid w:val="002253F6"/>
    <w:rsid w:val="00241328"/>
    <w:rsid w:val="002463FB"/>
    <w:rsid w:val="00252029"/>
    <w:rsid w:val="00271F01"/>
    <w:rsid w:val="00284E1B"/>
    <w:rsid w:val="00297E3C"/>
    <w:rsid w:val="002B307D"/>
    <w:rsid w:val="002D2394"/>
    <w:rsid w:val="002D5D2C"/>
    <w:rsid w:val="002D77AF"/>
    <w:rsid w:val="002F3B55"/>
    <w:rsid w:val="002F4D60"/>
    <w:rsid w:val="00332889"/>
    <w:rsid w:val="0033379A"/>
    <w:rsid w:val="003339AE"/>
    <w:rsid w:val="00337137"/>
    <w:rsid w:val="00341162"/>
    <w:rsid w:val="00346060"/>
    <w:rsid w:val="0037047D"/>
    <w:rsid w:val="0037511E"/>
    <w:rsid w:val="003811CB"/>
    <w:rsid w:val="00395579"/>
    <w:rsid w:val="003B481D"/>
    <w:rsid w:val="003C45A7"/>
    <w:rsid w:val="003D7AB6"/>
    <w:rsid w:val="003E2F61"/>
    <w:rsid w:val="003E35A5"/>
    <w:rsid w:val="00410069"/>
    <w:rsid w:val="00434E63"/>
    <w:rsid w:val="00436D0D"/>
    <w:rsid w:val="00440AEB"/>
    <w:rsid w:val="00473338"/>
    <w:rsid w:val="0047520C"/>
    <w:rsid w:val="00481BEB"/>
    <w:rsid w:val="00484349"/>
    <w:rsid w:val="004853A0"/>
    <w:rsid w:val="00485837"/>
    <w:rsid w:val="004C3E1E"/>
    <w:rsid w:val="004E0089"/>
    <w:rsid w:val="004E16D7"/>
    <w:rsid w:val="0050526C"/>
    <w:rsid w:val="00540FCA"/>
    <w:rsid w:val="00594781"/>
    <w:rsid w:val="005A2CFC"/>
    <w:rsid w:val="005A4ACF"/>
    <w:rsid w:val="005B6C61"/>
    <w:rsid w:val="005F348D"/>
    <w:rsid w:val="00604403"/>
    <w:rsid w:val="00613EEE"/>
    <w:rsid w:val="00624DA4"/>
    <w:rsid w:val="00642EDC"/>
    <w:rsid w:val="00643EC4"/>
    <w:rsid w:val="006572CD"/>
    <w:rsid w:val="00677679"/>
    <w:rsid w:val="006839DB"/>
    <w:rsid w:val="00686AE6"/>
    <w:rsid w:val="006A5387"/>
    <w:rsid w:val="0070012A"/>
    <w:rsid w:val="007305E5"/>
    <w:rsid w:val="007401DC"/>
    <w:rsid w:val="00743B79"/>
    <w:rsid w:val="00756482"/>
    <w:rsid w:val="007617BB"/>
    <w:rsid w:val="00762C82"/>
    <w:rsid w:val="007672C1"/>
    <w:rsid w:val="007802FD"/>
    <w:rsid w:val="007B7A9B"/>
    <w:rsid w:val="007D12B4"/>
    <w:rsid w:val="007D28E0"/>
    <w:rsid w:val="007E2DF0"/>
    <w:rsid w:val="00816F3E"/>
    <w:rsid w:val="008312D0"/>
    <w:rsid w:val="0084285D"/>
    <w:rsid w:val="00854A52"/>
    <w:rsid w:val="00874100"/>
    <w:rsid w:val="00880CC2"/>
    <w:rsid w:val="00882473"/>
    <w:rsid w:val="008A0355"/>
    <w:rsid w:val="008A05E1"/>
    <w:rsid w:val="008A56EE"/>
    <w:rsid w:val="008C2DD6"/>
    <w:rsid w:val="008C4890"/>
    <w:rsid w:val="008C76C1"/>
    <w:rsid w:val="008D326C"/>
    <w:rsid w:val="008E3848"/>
    <w:rsid w:val="008E57F8"/>
    <w:rsid w:val="008F7975"/>
    <w:rsid w:val="00901814"/>
    <w:rsid w:val="00903A32"/>
    <w:rsid w:val="00910D4A"/>
    <w:rsid w:val="00933079"/>
    <w:rsid w:val="00966842"/>
    <w:rsid w:val="00975BA8"/>
    <w:rsid w:val="00976AE1"/>
    <w:rsid w:val="0098494E"/>
    <w:rsid w:val="00995507"/>
    <w:rsid w:val="009B3D27"/>
    <w:rsid w:val="009B5C84"/>
    <w:rsid w:val="009E221C"/>
    <w:rsid w:val="00A17F9F"/>
    <w:rsid w:val="00A45FCE"/>
    <w:rsid w:val="00A72479"/>
    <w:rsid w:val="00A73C16"/>
    <w:rsid w:val="00A76BD4"/>
    <w:rsid w:val="00A92A9E"/>
    <w:rsid w:val="00A97FA9"/>
    <w:rsid w:val="00AA5893"/>
    <w:rsid w:val="00AA6E5B"/>
    <w:rsid w:val="00AB4131"/>
    <w:rsid w:val="00AB59FC"/>
    <w:rsid w:val="00AB61DC"/>
    <w:rsid w:val="00AC27D0"/>
    <w:rsid w:val="00AE4501"/>
    <w:rsid w:val="00AF7462"/>
    <w:rsid w:val="00B047A3"/>
    <w:rsid w:val="00B07CCC"/>
    <w:rsid w:val="00B16E97"/>
    <w:rsid w:val="00B21583"/>
    <w:rsid w:val="00B4257F"/>
    <w:rsid w:val="00B46519"/>
    <w:rsid w:val="00B63F25"/>
    <w:rsid w:val="00B7669F"/>
    <w:rsid w:val="00B80FCD"/>
    <w:rsid w:val="00BB030A"/>
    <w:rsid w:val="00BC714E"/>
    <w:rsid w:val="00BD5352"/>
    <w:rsid w:val="00BE0A9B"/>
    <w:rsid w:val="00C17863"/>
    <w:rsid w:val="00C3428F"/>
    <w:rsid w:val="00C34DEA"/>
    <w:rsid w:val="00C609E3"/>
    <w:rsid w:val="00C655E1"/>
    <w:rsid w:val="00C720DB"/>
    <w:rsid w:val="00C816DA"/>
    <w:rsid w:val="00CC2CE6"/>
    <w:rsid w:val="00CC6758"/>
    <w:rsid w:val="00CD3A2C"/>
    <w:rsid w:val="00CD5400"/>
    <w:rsid w:val="00D025D7"/>
    <w:rsid w:val="00D16FC9"/>
    <w:rsid w:val="00D23DAF"/>
    <w:rsid w:val="00D6221F"/>
    <w:rsid w:val="00D8194B"/>
    <w:rsid w:val="00D87244"/>
    <w:rsid w:val="00D94CB2"/>
    <w:rsid w:val="00DA297A"/>
    <w:rsid w:val="00DA4EF8"/>
    <w:rsid w:val="00DE3ABA"/>
    <w:rsid w:val="00DE7B03"/>
    <w:rsid w:val="00DE7C7D"/>
    <w:rsid w:val="00DF6346"/>
    <w:rsid w:val="00E27876"/>
    <w:rsid w:val="00E55E44"/>
    <w:rsid w:val="00E71AB1"/>
    <w:rsid w:val="00E86A82"/>
    <w:rsid w:val="00E97B94"/>
    <w:rsid w:val="00EA3262"/>
    <w:rsid w:val="00EB066B"/>
    <w:rsid w:val="00EE2CDC"/>
    <w:rsid w:val="00F0709E"/>
    <w:rsid w:val="00F146F1"/>
    <w:rsid w:val="00F14B4F"/>
    <w:rsid w:val="00F200AF"/>
    <w:rsid w:val="00F375E2"/>
    <w:rsid w:val="00F50F0F"/>
    <w:rsid w:val="00F835A1"/>
    <w:rsid w:val="00FA171C"/>
    <w:rsid w:val="00FA1EBD"/>
    <w:rsid w:val="00FB3BB6"/>
    <w:rsid w:val="00FC607C"/>
    <w:rsid w:val="00FD5EA2"/>
    <w:rsid w:val="00FE0463"/>
    <w:rsid w:val="00F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,"/>
  <w:listSeparator w:val=";"/>
  <w14:docId w14:val="6B4E3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63A55"/>
    <w:pPr>
      <w:widowControl w:val="0"/>
      <w:jc w:val="both"/>
    </w:pPr>
    <w:rPr>
      <w:rFonts w:ascii="Century" w:eastAsia="MS Mincho" w:hAnsi="Century" w:cs="Times New Roman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standardschriftart"/>
    <w:uiPriority w:val="99"/>
    <w:semiHidden/>
    <w:unhideWhenUsed/>
    <w:rsid w:val="00163A55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163A55"/>
    <w:pPr>
      <w:jc w:val="left"/>
    </w:p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163A55"/>
    <w:rPr>
      <w:rFonts w:ascii="Century" w:eastAsia="MS Mincho" w:hAnsi="Century" w:cs="Times New Roman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163A55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163A55"/>
    <w:rPr>
      <w:rFonts w:ascii="Century" w:eastAsia="MS Mincho" w:hAnsi="Century" w:cs="Times New Roman"/>
      <w:b/>
      <w:bCs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63A55"/>
    <w:rPr>
      <w:rFonts w:asciiTheme="majorHAnsi" w:eastAsiaTheme="majorEastAsia" w:hAnsiTheme="majorHAnsi" w:cstheme="majorBid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63A55"/>
    <w:rPr>
      <w:rFonts w:asciiTheme="majorHAnsi" w:eastAsiaTheme="majorEastAsia" w:hAnsiTheme="majorHAnsi" w:cstheme="majorBidi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3E35A5"/>
    <w:pPr>
      <w:tabs>
        <w:tab w:val="center" w:pos="4252"/>
        <w:tab w:val="right" w:pos="8504"/>
      </w:tabs>
      <w:snapToGrid w:val="0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3E35A5"/>
    <w:rPr>
      <w:rFonts w:ascii="Century" w:eastAsia="MS Mincho" w:hAnsi="Century" w:cs="Times New Roman"/>
    </w:rPr>
  </w:style>
  <w:style w:type="paragraph" w:styleId="Fuzeile">
    <w:name w:val="footer"/>
    <w:basedOn w:val="Standard"/>
    <w:link w:val="FuzeileZeichen"/>
    <w:uiPriority w:val="99"/>
    <w:unhideWhenUsed/>
    <w:rsid w:val="003E35A5"/>
    <w:pPr>
      <w:tabs>
        <w:tab w:val="center" w:pos="4252"/>
        <w:tab w:val="right" w:pos="8504"/>
      </w:tabs>
      <w:snapToGrid w:val="0"/>
    </w:pPr>
  </w:style>
  <w:style w:type="character" w:customStyle="1" w:styleId="FuzeileZeichen">
    <w:name w:val="Fußzeile Zeichen"/>
    <w:basedOn w:val="Absatzstandardschriftart"/>
    <w:link w:val="Fuzeile"/>
    <w:uiPriority w:val="99"/>
    <w:rsid w:val="003E35A5"/>
    <w:rPr>
      <w:rFonts w:ascii="Century" w:eastAsia="MS Mincho" w:hAnsi="Century" w:cs="Times New Roman"/>
    </w:rPr>
  </w:style>
  <w:style w:type="paragraph" w:styleId="Bearbeitung">
    <w:name w:val="Revision"/>
    <w:hidden/>
    <w:uiPriority w:val="99"/>
    <w:semiHidden/>
    <w:rsid w:val="008E57F8"/>
    <w:rPr>
      <w:rFonts w:ascii="Century" w:eastAsia="MS Mincho" w:hAnsi="Century" w:cs="Times New Roman"/>
    </w:rPr>
  </w:style>
  <w:style w:type="character" w:styleId="Link">
    <w:name w:val="Hyperlink"/>
    <w:basedOn w:val="Absatzstandardschriftart"/>
    <w:uiPriority w:val="99"/>
    <w:unhideWhenUsed/>
    <w:rsid w:val="0084285D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333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rede">
    <w:name w:val="Salutation"/>
    <w:basedOn w:val="Standard"/>
    <w:next w:val="Standard"/>
    <w:link w:val="AnredeZeichen"/>
    <w:rsid w:val="005F348D"/>
    <w:rPr>
      <w:rFonts w:ascii="MS Mincho" w:hAnsi="MS Mincho"/>
      <w:szCs w:val="24"/>
    </w:rPr>
  </w:style>
  <w:style w:type="character" w:customStyle="1" w:styleId="AnredeZeichen">
    <w:name w:val="Anrede Zeichen"/>
    <w:basedOn w:val="Absatzstandardschriftart"/>
    <w:link w:val="Anrede"/>
    <w:rsid w:val="005F348D"/>
    <w:rPr>
      <w:rFonts w:ascii="MS Mincho" w:eastAsia="MS Mincho" w:hAnsi="MS Mincho" w:cs="Times New Roman"/>
      <w:szCs w:val="24"/>
    </w:rPr>
  </w:style>
  <w:style w:type="paragraph" w:styleId="Listenabsatz">
    <w:name w:val="List Paragraph"/>
    <w:basedOn w:val="Standard"/>
    <w:uiPriority w:val="34"/>
    <w:qFormat/>
    <w:rsid w:val="005F348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63A55"/>
    <w:pPr>
      <w:widowControl w:val="0"/>
      <w:jc w:val="both"/>
    </w:pPr>
    <w:rPr>
      <w:rFonts w:ascii="Century" w:eastAsia="MS Mincho" w:hAnsi="Century" w:cs="Times New Roman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standardschriftart"/>
    <w:uiPriority w:val="99"/>
    <w:semiHidden/>
    <w:unhideWhenUsed/>
    <w:rsid w:val="00163A55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163A55"/>
    <w:pPr>
      <w:jc w:val="left"/>
    </w:p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163A55"/>
    <w:rPr>
      <w:rFonts w:ascii="Century" w:eastAsia="MS Mincho" w:hAnsi="Century" w:cs="Times New Roman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163A55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163A55"/>
    <w:rPr>
      <w:rFonts w:ascii="Century" w:eastAsia="MS Mincho" w:hAnsi="Century" w:cs="Times New Roman"/>
      <w:b/>
      <w:bCs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63A55"/>
    <w:rPr>
      <w:rFonts w:asciiTheme="majorHAnsi" w:eastAsiaTheme="majorEastAsia" w:hAnsiTheme="majorHAnsi" w:cstheme="majorBid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63A55"/>
    <w:rPr>
      <w:rFonts w:asciiTheme="majorHAnsi" w:eastAsiaTheme="majorEastAsia" w:hAnsiTheme="majorHAnsi" w:cstheme="majorBidi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3E35A5"/>
    <w:pPr>
      <w:tabs>
        <w:tab w:val="center" w:pos="4252"/>
        <w:tab w:val="right" w:pos="8504"/>
      </w:tabs>
      <w:snapToGrid w:val="0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3E35A5"/>
    <w:rPr>
      <w:rFonts w:ascii="Century" w:eastAsia="MS Mincho" w:hAnsi="Century" w:cs="Times New Roman"/>
    </w:rPr>
  </w:style>
  <w:style w:type="paragraph" w:styleId="Fuzeile">
    <w:name w:val="footer"/>
    <w:basedOn w:val="Standard"/>
    <w:link w:val="FuzeileZeichen"/>
    <w:uiPriority w:val="99"/>
    <w:unhideWhenUsed/>
    <w:rsid w:val="003E35A5"/>
    <w:pPr>
      <w:tabs>
        <w:tab w:val="center" w:pos="4252"/>
        <w:tab w:val="right" w:pos="8504"/>
      </w:tabs>
      <w:snapToGrid w:val="0"/>
    </w:pPr>
  </w:style>
  <w:style w:type="character" w:customStyle="1" w:styleId="FuzeileZeichen">
    <w:name w:val="Fußzeile Zeichen"/>
    <w:basedOn w:val="Absatzstandardschriftart"/>
    <w:link w:val="Fuzeile"/>
    <w:uiPriority w:val="99"/>
    <w:rsid w:val="003E35A5"/>
    <w:rPr>
      <w:rFonts w:ascii="Century" w:eastAsia="MS Mincho" w:hAnsi="Century" w:cs="Times New Roman"/>
    </w:rPr>
  </w:style>
  <w:style w:type="paragraph" w:styleId="Bearbeitung">
    <w:name w:val="Revision"/>
    <w:hidden/>
    <w:uiPriority w:val="99"/>
    <w:semiHidden/>
    <w:rsid w:val="008E57F8"/>
    <w:rPr>
      <w:rFonts w:ascii="Century" w:eastAsia="MS Mincho" w:hAnsi="Century" w:cs="Times New Roman"/>
    </w:rPr>
  </w:style>
  <w:style w:type="character" w:styleId="Link">
    <w:name w:val="Hyperlink"/>
    <w:basedOn w:val="Absatzstandardschriftart"/>
    <w:uiPriority w:val="99"/>
    <w:unhideWhenUsed/>
    <w:rsid w:val="0084285D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333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rede">
    <w:name w:val="Salutation"/>
    <w:basedOn w:val="Standard"/>
    <w:next w:val="Standard"/>
    <w:link w:val="AnredeZeichen"/>
    <w:rsid w:val="005F348D"/>
    <w:rPr>
      <w:rFonts w:ascii="MS Mincho" w:hAnsi="MS Mincho"/>
      <w:szCs w:val="24"/>
    </w:rPr>
  </w:style>
  <w:style w:type="character" w:customStyle="1" w:styleId="AnredeZeichen">
    <w:name w:val="Anrede Zeichen"/>
    <w:basedOn w:val="Absatzstandardschriftart"/>
    <w:link w:val="Anrede"/>
    <w:rsid w:val="005F348D"/>
    <w:rPr>
      <w:rFonts w:ascii="MS Mincho" w:eastAsia="MS Mincho" w:hAnsi="MS Mincho" w:cs="Times New Roman"/>
      <w:szCs w:val="24"/>
    </w:rPr>
  </w:style>
  <w:style w:type="paragraph" w:styleId="Listenabsatz">
    <w:name w:val="List Paragraph"/>
    <w:basedOn w:val="Standard"/>
    <w:uiPriority w:val="34"/>
    <w:qFormat/>
    <w:rsid w:val="005F34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5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2448C-1275-4946-A14F-FFF71CA00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1893</Characters>
  <Application>Microsoft Macintosh Word</Application>
  <DocSecurity>0</DocSecurity>
  <Lines>15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2016-08-12T00:14:00Z</dcterms:created>
  <dcterms:modified xsi:type="dcterms:W3CDTF">2016-08-24T10:57:00Z</dcterms:modified>
</cp:coreProperties>
</file>